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right"/>
        <w:rPr>
          <w:rFonts w:ascii="Arial" w:cs="Arial" w:eastAsia="Arial" w:hAnsi="Arial"/>
          <w:sz w:val="20"/>
          <w:szCs w:val="20"/>
        </w:rPr>
      </w:pPr>
      <w:r w:rsidDel="00000000" w:rsidR="00000000" w:rsidRPr="00000000">
        <w:rPr>
          <w:rFonts w:ascii="Arial" w:cs="Arial" w:eastAsia="Arial" w:hAnsi="Arial"/>
          <w:b w:val="1"/>
          <w:sz w:val="20"/>
          <w:szCs w:val="20"/>
          <w:rtl w:val="0"/>
        </w:rPr>
        <w:t xml:space="preserve">Editorial Contact: </w:t>
      </w:r>
      <w:r w:rsidDel="00000000" w:rsidR="00000000" w:rsidRPr="00000000">
        <w:rPr>
          <w:rFonts w:ascii="Arial" w:cs="Arial" w:eastAsia="Arial" w:hAnsi="Arial"/>
          <w:sz w:val="20"/>
          <w:szCs w:val="20"/>
          <w:rtl w:val="0"/>
        </w:rPr>
        <w:t xml:space="preserve">Macy McElmury</w:t>
      </w:r>
    </w:p>
    <w:p w:rsidR="00000000" w:rsidDel="00000000" w:rsidP="00000000" w:rsidRDefault="00000000" w:rsidRPr="00000000" w14:paraId="00000002">
      <w:pPr>
        <w:jc w:val="right"/>
        <w:rPr>
          <w:rFonts w:ascii="Arial" w:cs="Arial" w:eastAsia="Arial" w:hAnsi="Arial"/>
          <w:sz w:val="20"/>
          <w:szCs w:val="20"/>
        </w:rPr>
      </w:pPr>
      <w:r w:rsidDel="00000000" w:rsidR="00000000" w:rsidRPr="00000000">
        <w:rPr>
          <w:rFonts w:ascii="Arial" w:cs="Arial" w:eastAsia="Arial" w:hAnsi="Arial"/>
          <w:b w:val="1"/>
          <w:sz w:val="20"/>
          <w:szCs w:val="20"/>
          <w:rtl w:val="0"/>
        </w:rPr>
        <w:t xml:space="preserve">Email: </w:t>
      </w:r>
      <w:hyperlink r:id="rId7">
        <w:r w:rsidDel="00000000" w:rsidR="00000000" w:rsidRPr="00000000">
          <w:rPr>
            <w:rFonts w:ascii="Arial" w:cs="Arial" w:eastAsia="Arial" w:hAnsi="Arial"/>
            <w:color w:val="1155cc"/>
            <w:sz w:val="20"/>
            <w:szCs w:val="20"/>
            <w:u w:val="single"/>
            <w:rtl w:val="0"/>
          </w:rPr>
          <w:t xml:space="preserve">macym@anthologic.com</w:t>
        </w:r>
      </w:hyperlink>
      <w:r w:rsidDel="00000000" w:rsidR="00000000" w:rsidRPr="00000000">
        <w:rPr>
          <w:rtl w:val="0"/>
        </w:rPr>
      </w:r>
    </w:p>
    <w:p w:rsidR="00000000" w:rsidDel="00000000" w:rsidP="00000000" w:rsidRDefault="00000000" w:rsidRPr="00000000" w14:paraId="00000003">
      <w:pPr>
        <w:jc w:val="right"/>
        <w:rPr>
          <w:rFonts w:ascii="Arial" w:cs="Arial" w:eastAsia="Arial" w:hAnsi="Arial"/>
          <w:sz w:val="20"/>
          <w:szCs w:val="20"/>
        </w:rPr>
      </w:pPr>
      <w:r w:rsidDel="00000000" w:rsidR="00000000" w:rsidRPr="00000000">
        <w:rPr>
          <w:rFonts w:ascii="Arial" w:cs="Arial" w:eastAsia="Arial" w:hAnsi="Arial"/>
          <w:b w:val="1"/>
          <w:sz w:val="20"/>
          <w:szCs w:val="20"/>
          <w:rtl w:val="0"/>
        </w:rPr>
        <w:t xml:space="preserve">Phone: </w:t>
      </w:r>
      <w:r w:rsidDel="00000000" w:rsidR="00000000" w:rsidRPr="00000000">
        <w:rPr>
          <w:rFonts w:ascii="Arial" w:cs="Arial" w:eastAsia="Arial" w:hAnsi="Arial"/>
          <w:sz w:val="20"/>
          <w:szCs w:val="20"/>
          <w:rtl w:val="0"/>
        </w:rPr>
        <w:t xml:space="preserve">515.224.7417</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ind w:left="720"/>
        <w:jc w:val="center"/>
        <w:rPr>
          <w:rFonts w:ascii="Arial" w:cs="Arial" w:eastAsia="Arial" w:hAnsi="Arial"/>
          <w:b w:val="1"/>
        </w:rPr>
      </w:pPr>
      <w:r w:rsidDel="00000000" w:rsidR="00000000" w:rsidRPr="00000000">
        <w:rPr>
          <w:rFonts w:ascii="Arial" w:cs="Arial" w:eastAsia="Arial" w:hAnsi="Arial"/>
          <w:b w:val="1"/>
          <w:rtl w:val="0"/>
        </w:rPr>
        <w:t xml:space="preserve">Stellar</w:t>
      </w:r>
      <w:r w:rsidDel="00000000" w:rsidR="00000000" w:rsidRPr="00000000">
        <w:rPr>
          <w:rFonts w:ascii="Arial" w:cs="Arial" w:eastAsia="Arial" w:hAnsi="Arial"/>
          <w:b w:val="1"/>
          <w:vertAlign w:val="superscript"/>
          <w:rtl w:val="0"/>
        </w:rPr>
        <w:t xml:space="preserve">®</w:t>
      </w:r>
      <w:r w:rsidDel="00000000" w:rsidR="00000000" w:rsidRPr="00000000">
        <w:rPr>
          <w:rFonts w:ascii="Arial" w:cs="Arial" w:eastAsia="Arial" w:hAnsi="Arial"/>
          <w:b w:val="1"/>
          <w:rtl w:val="0"/>
        </w:rPr>
        <w:t xml:space="preserve"> TMAX™ 1-11 Aluminum Mechanic Truck with 8630 Hydraulic Service Crane</w:t>
      </w:r>
    </w:p>
    <w:p w:rsidR="00000000" w:rsidDel="00000000" w:rsidP="00000000" w:rsidRDefault="00000000" w:rsidRPr="00000000" w14:paraId="00000006">
      <w:pPr>
        <w:ind w:left="720"/>
        <w:jc w:val="center"/>
        <w:rPr>
          <w:rFonts w:ascii="Arial" w:cs="Arial" w:eastAsia="Arial" w:hAnsi="Arial"/>
          <w:b w:val="1"/>
        </w:rPr>
      </w:pPr>
      <w:r w:rsidDel="00000000" w:rsidR="00000000" w:rsidRPr="00000000">
        <w:rPr>
          <w:rtl w:val="0"/>
        </w:rPr>
      </w:r>
    </w:p>
    <w:p w:rsidR="00000000" w:rsidDel="00000000" w:rsidP="00000000" w:rsidRDefault="00000000" w:rsidRPr="00000000" w14:paraId="00000007">
      <w:pPr>
        <w:rPr>
          <w:rFonts w:ascii="Arial" w:cs="Arial" w:eastAsia="Arial" w:hAnsi="Arial"/>
          <w:sz w:val="22"/>
          <w:szCs w:val="22"/>
        </w:rPr>
      </w:pPr>
      <w:hyperlink r:id="rId8">
        <w:r w:rsidDel="00000000" w:rsidR="00000000" w:rsidRPr="00000000">
          <w:rPr>
            <w:rFonts w:ascii="Arial" w:cs="Arial" w:eastAsia="Arial" w:hAnsi="Arial"/>
            <w:color w:val="1155cc"/>
            <w:sz w:val="22"/>
            <w:szCs w:val="22"/>
            <w:u w:val="single"/>
            <w:rtl w:val="0"/>
          </w:rPr>
          <w:t xml:space="preserve">The Stellar TMAX 1-11 Aluminum Mechanic Truck</w:t>
        </w:r>
      </w:hyperlink>
      <w:r w:rsidDel="00000000" w:rsidR="00000000" w:rsidRPr="00000000">
        <w:rPr>
          <w:rFonts w:ascii="Arial" w:cs="Arial" w:eastAsia="Arial" w:hAnsi="Arial"/>
          <w:sz w:val="22"/>
          <w:szCs w:val="22"/>
          <w:rtl w:val="0"/>
        </w:rPr>
        <w:t xml:space="preserve"> combines extensive crane compatibility, customizable features and unparalleled quality. This vehicle offers increased payload capacity and superior fuel efficiency. Its aluminum construction not only reduces weight but also combats corrosion, ensuring a longer operational lifespan.</w:t>
      </w:r>
    </w:p>
    <w:p w:rsidR="00000000" w:rsidDel="00000000" w:rsidP="00000000" w:rsidRDefault="00000000" w:rsidRPr="00000000" w14:paraId="00000008">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9">
      <w:pPr>
        <w:rPr>
          <w:rFonts w:ascii="Arial" w:cs="Arial" w:eastAsia="Arial" w:hAnsi="Arial"/>
          <w:sz w:val="22"/>
          <w:szCs w:val="22"/>
        </w:rPr>
      </w:pPr>
      <w:r w:rsidDel="00000000" w:rsidR="00000000" w:rsidRPr="00000000">
        <w:rPr>
          <w:rFonts w:ascii="Arial" w:cs="Arial" w:eastAsia="Arial" w:hAnsi="Arial"/>
          <w:sz w:val="22"/>
          <w:szCs w:val="22"/>
          <w:rtl w:val="0"/>
        </w:rPr>
        <w:t xml:space="preserve">Stellar’s revolutionary torq-isolator crane support design isolates the crane compartment from the rest of the side pack. This allows the lifting stresses to be channeled through stabilizers and a robust box-type subframe, safeguarding compartment doors and enhancing overall structural integrity.</w:t>
      </w:r>
    </w:p>
    <w:p w:rsidR="00000000" w:rsidDel="00000000" w:rsidP="00000000" w:rsidRDefault="00000000" w:rsidRPr="00000000" w14:paraId="0000000A">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B">
      <w:pPr>
        <w:rPr>
          <w:rFonts w:ascii="Arial" w:cs="Arial" w:eastAsia="Arial" w:hAnsi="Arial"/>
          <w:sz w:val="22"/>
          <w:szCs w:val="22"/>
        </w:rPr>
      </w:pPr>
      <w:r w:rsidDel="00000000" w:rsidR="00000000" w:rsidRPr="00000000">
        <w:rPr>
          <w:rFonts w:ascii="Arial" w:cs="Arial" w:eastAsia="Arial" w:hAnsi="Arial"/>
          <w:sz w:val="22"/>
          <w:szCs w:val="22"/>
          <w:rtl w:val="0"/>
        </w:rPr>
        <w:t xml:space="preserve">Adaptability is key, and the TMAX 1-11 delivers with an aluminum extruded top boasting drill-free mounting rails. This feature makes adding a diverse range of mechanic service truck accessories effortless, giving users the flexibility to tailor the truck to their specific needs and enhance its capabilities as their requirements change.</w:t>
      </w:r>
    </w:p>
    <w:p w:rsidR="00000000" w:rsidDel="00000000" w:rsidP="00000000" w:rsidRDefault="00000000" w:rsidRPr="00000000" w14:paraId="0000000C">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D">
      <w:pPr>
        <w:rPr>
          <w:rFonts w:ascii="Arial" w:cs="Arial" w:eastAsia="Arial" w:hAnsi="Arial"/>
          <w:sz w:val="22"/>
          <w:szCs w:val="22"/>
        </w:rPr>
      </w:pPr>
      <w:r w:rsidDel="00000000" w:rsidR="00000000" w:rsidRPr="00000000">
        <w:rPr>
          <w:rFonts w:ascii="Arial" w:cs="Arial" w:eastAsia="Arial" w:hAnsi="Arial"/>
          <w:sz w:val="22"/>
          <w:szCs w:val="22"/>
          <w:rtl w:val="0"/>
        </w:rPr>
        <w:t xml:space="preserve">The TMAX 1-11's double-panel 1/8" aluminum tailgate, complete with hinged arm brackets, presents a robust working surface for enhanced productivity. Compartment options include 250-lb-capacity, adjustable divider shelves constructed from spangled galvanized steel and drawer sets, both offering practical storage solutions for various tools and equipment.</w:t>
      </w:r>
    </w:p>
    <w:p w:rsidR="00000000" w:rsidDel="00000000" w:rsidP="00000000" w:rsidRDefault="00000000" w:rsidRPr="00000000" w14:paraId="0000000E">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F">
      <w:pPr>
        <w:rPr>
          <w:rFonts w:ascii="Arial" w:cs="Arial" w:eastAsia="Arial" w:hAnsi="Arial"/>
          <w:sz w:val="22"/>
          <w:szCs w:val="22"/>
        </w:rPr>
      </w:pPr>
      <w:r w:rsidDel="00000000" w:rsidR="00000000" w:rsidRPr="00000000">
        <w:rPr>
          <w:rFonts w:ascii="Arial" w:cs="Arial" w:eastAsia="Arial" w:hAnsi="Arial"/>
          <w:sz w:val="22"/>
          <w:szCs w:val="22"/>
          <w:rtl w:val="0"/>
        </w:rPr>
        <w:t xml:space="preserve">A durable undercoating, featuring a petroleum base material, shields the TMAX 1-11 from corrosion and road debris, ensuring its longevity and reliability in diverse environments.</w:t>
      </w:r>
    </w:p>
    <w:p w:rsidR="00000000" w:rsidDel="00000000" w:rsidP="00000000" w:rsidRDefault="00000000" w:rsidRPr="00000000" w14:paraId="00000010">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1">
      <w:pPr>
        <w:rPr>
          <w:rFonts w:ascii="Arial" w:cs="Arial" w:eastAsia="Arial" w:hAnsi="Arial"/>
          <w:sz w:val="22"/>
          <w:szCs w:val="22"/>
        </w:rPr>
      </w:pPr>
      <w:r w:rsidDel="00000000" w:rsidR="00000000" w:rsidRPr="00000000">
        <w:rPr>
          <w:rFonts w:ascii="Arial" w:cs="Arial" w:eastAsia="Arial" w:hAnsi="Arial"/>
          <w:sz w:val="22"/>
          <w:szCs w:val="22"/>
          <w:rtl w:val="0"/>
        </w:rPr>
        <w:t xml:space="preserve">In addition, the TMAX 1-11 Mechanic Truck is expertly configured to seamlessly accommodate Stellar Hydraulic Service Cranes, including the </w:t>
      </w:r>
      <w:hyperlink r:id="rId9">
        <w:r w:rsidDel="00000000" w:rsidR="00000000" w:rsidRPr="00000000">
          <w:rPr>
            <w:rFonts w:ascii="Arial" w:cs="Arial" w:eastAsia="Arial" w:hAnsi="Arial"/>
            <w:color w:val="1155cc"/>
            <w:sz w:val="22"/>
            <w:szCs w:val="22"/>
            <w:u w:val="single"/>
            <w:rtl w:val="0"/>
          </w:rPr>
          <w:t xml:space="preserve">Stellar 8630 Hydraulic Service Crane.</w:t>
        </w:r>
      </w:hyperlink>
      <w:r w:rsidDel="00000000" w:rsidR="00000000" w:rsidRPr="00000000">
        <w:rPr>
          <w:rFonts w:ascii="Arial" w:cs="Arial" w:eastAsia="Arial" w:hAnsi="Arial"/>
          <w:sz w:val="22"/>
          <w:szCs w:val="22"/>
          <w:rtl w:val="0"/>
        </w:rPr>
        <w:t xml:space="preserve"> The 8630 crane boasts 8,600-lb capacity and an impressive 30' of reach. The crane’s distinctive boom design strikes the perfect balance between weight reduction and unwavering strength, while the compact boom tip effortlessly extends into tight spaces. What’s more, users can elevate their control with the CDTpro™ Control System with Range Finder™ technology, offering unparalleled precision over their operations. </w:t>
      </w:r>
    </w:p>
    <w:p w:rsidR="00000000" w:rsidDel="00000000" w:rsidP="00000000" w:rsidRDefault="00000000" w:rsidRPr="00000000" w14:paraId="00000012">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3">
      <w:pPr>
        <w:rPr>
          <w:rFonts w:ascii="Arial" w:cs="Arial" w:eastAsia="Arial" w:hAnsi="Arial"/>
          <w:b w:val="1"/>
          <w:sz w:val="22"/>
          <w:szCs w:val="22"/>
        </w:rPr>
      </w:pPr>
      <w:r w:rsidDel="00000000" w:rsidR="00000000" w:rsidRPr="00000000">
        <w:rPr>
          <w:rFonts w:ascii="Arial" w:cs="Arial" w:eastAsia="Arial" w:hAnsi="Arial"/>
          <w:sz w:val="22"/>
          <w:szCs w:val="22"/>
          <w:rtl w:val="0"/>
        </w:rPr>
        <w:t xml:space="preserve">For more information on Stellar TMAX 1-11 Aluminum Mechanic Trucks, visit </w:t>
      </w:r>
      <w:hyperlink r:id="rId10">
        <w:r w:rsidDel="00000000" w:rsidR="00000000" w:rsidRPr="00000000">
          <w:rPr>
            <w:rFonts w:ascii="Arial" w:cs="Arial" w:eastAsia="Arial" w:hAnsi="Arial"/>
            <w:color w:val="0563c1"/>
            <w:sz w:val="22"/>
            <w:szCs w:val="22"/>
            <w:u w:val="single"/>
            <w:rtl w:val="0"/>
          </w:rPr>
          <w:t xml:space="preserve">www.stellarindustries.com</w:t>
        </w:r>
      </w:hyperlink>
      <w:r w:rsidDel="00000000" w:rsidR="00000000" w:rsidRPr="00000000">
        <w:rPr>
          <w:rFonts w:ascii="Arial" w:cs="Arial" w:eastAsia="Arial" w:hAnsi="Arial"/>
          <w:sz w:val="22"/>
          <w:szCs w:val="22"/>
          <w:rtl w:val="0"/>
        </w:rPr>
        <w:t xml:space="preserve">. </w:t>
      </w:r>
      <w:r w:rsidDel="00000000" w:rsidR="00000000" w:rsidRPr="00000000">
        <w:rPr>
          <w:rtl w:val="0"/>
        </w:rPr>
      </w:r>
    </w:p>
    <w:p w:rsidR="00000000" w:rsidDel="00000000" w:rsidP="00000000" w:rsidRDefault="00000000" w:rsidRPr="00000000" w14:paraId="00000014">
      <w:pPr>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15">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16">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7">
      <w:pPr>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Stellar was founded in 1990 in Garner, Iowa, and has since expanded operations to multiple U.S. locations. Stellar is a 100% employee-owned and -operated manufacturer of high-quality work trucks, service cranes and accessories, in addition to trailers. Through the innovative, growing product line and an expanding distribution network, the company has gained an international presence and become the No. 1 productivity choice in many markets. </w:t>
      </w:r>
    </w:p>
    <w:p w:rsidR="00000000" w:rsidDel="00000000" w:rsidP="00000000" w:rsidRDefault="00000000" w:rsidRPr="00000000" w14:paraId="00000018">
      <w:pPr>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019">
      <w:pPr>
        <w:rPr>
          <w:rFonts w:ascii="Arial" w:cs="Arial" w:eastAsia="Arial" w:hAnsi="Arial"/>
          <w:sz w:val="21"/>
          <w:szCs w:val="21"/>
        </w:rPr>
      </w:pPr>
      <w:r w:rsidDel="00000000" w:rsidR="00000000" w:rsidRPr="00000000">
        <w:rPr>
          <w:rtl w:val="0"/>
        </w:rPr>
      </w:r>
    </w:p>
    <w:sectPr>
      <w:headerReference r:id="rId11" w:type="default"/>
      <w:headerReference r:id="rId12" w:type="first"/>
      <w:headerReference r:id="rId13" w:type="even"/>
      <w:footerReference r:id="rId14" w:type="default"/>
      <w:footerReference r:id="rId15" w:type="first"/>
      <w:footerReference r:id="rId16" w:type="even"/>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color w:val="000000"/>
      </w:rPr>
      <w:drawing>
        <wp:inline distB="0" distT="0" distL="0" distR="0">
          <wp:extent cx="8254328" cy="741436"/>
          <wp:effectExtent b="0" l="0" r="0" t="0"/>
          <wp:docPr id="12" name="image2.png"/>
          <a:graphic>
            <a:graphicData uri="http://schemas.openxmlformats.org/drawingml/2006/picture">
              <pic:pic>
                <pic:nvPicPr>
                  <pic:cNvPr id="0" name="image2.png"/>
                  <pic:cNvPicPr preferRelativeResize="0"/>
                </pic:nvPicPr>
                <pic:blipFill>
                  <a:blip r:embed="rId1"/>
                  <a:srcRect b="-15978" l="3666" r="0" t="0"/>
                  <a:stretch>
                    <a:fillRect/>
                  </a:stretch>
                </pic:blipFill>
                <pic:spPr>
                  <a:xfrm>
                    <a:off x="0" y="0"/>
                    <a:ext cx="8254328" cy="741436"/>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tbl>
    <w:tblPr>
      <w:tblStyle w:val="Table1"/>
      <w:tblW w:w="9350.0" w:type="dxa"/>
      <w:jc w:val="left"/>
      <w:tblBorders>
        <w:top w:color="000000" w:space="0" w:sz="0" w:val="nil"/>
        <w:left w:color="000000" w:space="0" w:sz="0" w:val="nil"/>
        <w:bottom w:color="000000" w:space="0" w:sz="0" w:val="nil"/>
        <w:right w:color="000000" w:space="0" w:sz="0" w:val="nil"/>
        <w:insideH w:color="000000" w:space="0" w:sz="0" w:val="nil"/>
        <w:insideV w:color="4d4d4c" w:space="0" w:sz="8" w:val="single"/>
      </w:tblBorders>
      <w:tblLayout w:type="fixed"/>
      <w:tblLook w:val="0400"/>
    </w:tblPr>
    <w:tblGrid>
      <w:gridCol w:w="3780"/>
      <w:gridCol w:w="5570"/>
      <w:tblGridChange w:id="0">
        <w:tblGrid>
          <w:gridCol w:w="3780"/>
          <w:gridCol w:w="5570"/>
        </w:tblGrid>
      </w:tblGridChange>
    </w:tblGrid>
    <w:tr>
      <w:trPr>
        <w:cantSplit w:val="0"/>
        <w:trHeight w:val="180" w:hRule="atLeast"/>
        <w:tblHeader w:val="0"/>
      </w:trPr>
      <w:tc>
        <w:tcPr/>
        <w:p w:rsidR="00000000" w:rsidDel="00000000" w:rsidP="00000000" w:rsidRDefault="00000000" w:rsidRPr="00000000" w14:paraId="0000001B">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drawing>
              <wp:inline distB="114300" distT="114300" distL="114300" distR="114300">
                <wp:extent cx="2266950" cy="914400"/>
                <wp:effectExtent b="0" l="0" r="0" t="0"/>
                <wp:docPr id="1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6950" cy="9144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1C">
          <w:pPr>
            <w:pBdr>
              <w:top w:space="0" w:sz="0" w:val="nil"/>
              <w:left w:space="0" w:sz="0" w:val="nil"/>
              <w:bottom w:space="0" w:sz="0" w:val="nil"/>
              <w:right w:space="0" w:sz="0" w:val="nil"/>
              <w:between w:space="0" w:sz="0" w:val="nil"/>
            </w:pBdr>
            <w:tabs>
              <w:tab w:val="center" w:leader="none" w:pos="4680"/>
              <w:tab w:val="right" w:leader="none" w:pos="9360"/>
            </w:tabs>
            <w:spacing w:line="276" w:lineRule="auto"/>
            <w:rPr>
              <w:rFonts w:ascii="Arial" w:cs="Arial" w:eastAsia="Arial" w:hAnsi="Arial"/>
              <w:color w:val="4d4d4c"/>
              <w:sz w:val="18"/>
              <w:szCs w:val="18"/>
            </w:rPr>
          </w:pP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tabs>
              <w:tab w:val="center" w:leader="none" w:pos="4680"/>
              <w:tab w:val="right" w:leader="none" w:pos="9360"/>
            </w:tabs>
            <w:spacing w:line="276" w:lineRule="auto"/>
            <w:rPr>
              <w:rFonts w:ascii="Arial" w:cs="Arial" w:eastAsia="Arial" w:hAnsi="Arial"/>
              <w:color w:val="4d4d4c"/>
              <w:sz w:val="20"/>
              <w:szCs w:val="20"/>
            </w:rPr>
          </w:pPr>
          <w:r w:rsidDel="00000000" w:rsidR="00000000" w:rsidRPr="00000000">
            <w:rPr>
              <w:rFonts w:ascii="Arial" w:cs="Arial" w:eastAsia="Arial" w:hAnsi="Arial"/>
              <w:color w:val="4d4d4c"/>
              <w:sz w:val="20"/>
              <w:szCs w:val="20"/>
              <w:rtl w:val="0"/>
            </w:rPr>
            <w:t xml:space="preserve">         </w:t>
          </w:r>
          <w:hyperlink r:id="rId2">
            <w:r w:rsidDel="00000000" w:rsidR="00000000" w:rsidRPr="00000000">
              <w:rPr>
                <w:rFonts w:ascii="Arial" w:cs="Arial" w:eastAsia="Arial" w:hAnsi="Arial"/>
                <w:color w:val="1155cc"/>
                <w:sz w:val="20"/>
                <w:szCs w:val="20"/>
                <w:u w:val="single"/>
                <w:rtl w:val="0"/>
              </w:rPr>
              <w:t xml:space="preserve">stellarindustries.com</w:t>
            </w:r>
          </w:hyperlink>
          <w:r w:rsidDel="00000000" w:rsidR="00000000" w:rsidRPr="00000000">
            <w:rPr>
              <w:rFonts w:ascii="Arial" w:cs="Arial" w:eastAsia="Arial" w:hAnsi="Arial"/>
              <w:color w:val="4d4d4c"/>
              <w:sz w:val="20"/>
              <w:szCs w:val="20"/>
              <w:rtl w:val="0"/>
            </w:rPr>
            <w:t xml:space="preserve"> | 800.321.3741</w:t>
          </w:r>
        </w:p>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leader="none" w:pos="4680"/>
              <w:tab w:val="right" w:leader="none" w:pos="9360"/>
            </w:tabs>
            <w:spacing w:line="276" w:lineRule="auto"/>
            <w:rPr>
              <w:color w:val="000000"/>
            </w:rPr>
          </w:pPr>
          <w:r w:rsidDel="00000000" w:rsidR="00000000" w:rsidRPr="00000000">
            <w:rPr>
              <w:rFonts w:ascii="Arial" w:cs="Arial" w:eastAsia="Arial" w:hAnsi="Arial"/>
              <w:color w:val="4d4d4c"/>
              <w:sz w:val="20"/>
              <w:szCs w:val="20"/>
              <w:rtl w:val="0"/>
            </w:rPr>
            <w:t xml:space="preserve">         190 State St, Garner, IA 50438</w:t>
          </w:r>
          <w:r w:rsidDel="00000000" w:rsidR="00000000" w:rsidRPr="00000000">
            <w:rPr>
              <w:rtl w:val="0"/>
            </w:rPr>
          </w:r>
        </w:p>
      </w:tc>
    </w:tr>
  </w:tbl>
  <w:p w:rsidR="00000000" w:rsidDel="00000000" w:rsidP="00000000" w:rsidRDefault="00000000" w:rsidRPr="00000000" w14:paraId="0000001F">
    <w:pPr>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leader="none" w:pos="4680"/>
        <w:tab w:val="right" w:leader="none" w:pos="9360"/>
      </w:tabs>
      <w:rPr>
        <w:rFonts w:ascii="Arial" w:cs="Arial" w:eastAsia="Arial" w:hAnsi="Arial"/>
        <w:b w:val="1"/>
        <w:sz w:val="20"/>
        <w:szCs w:val="2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80" w:before="360" w:lineRule="auto"/>
    </w:pPr>
    <w:rPr>
      <w:rFonts w:ascii="Calibri" w:cs="Calibri" w:eastAsia="Calibri" w:hAnsi="Calibri"/>
      <w:b w:val="1"/>
      <w:sz w:val="36"/>
      <w:szCs w:val="36"/>
    </w:rPr>
  </w:style>
  <w:style w:type="paragraph" w:styleId="Heading3">
    <w:name w:val="heading 3"/>
    <w:basedOn w:val="Normal"/>
    <w:next w:val="Normal"/>
    <w:pPr>
      <w:keepNext w:val="1"/>
      <w:keepLines w:val="1"/>
      <w:spacing w:after="80" w:before="280" w:lineRule="auto"/>
    </w:pPr>
    <w:rPr>
      <w:rFonts w:ascii="Calibri" w:cs="Calibri" w:eastAsia="Calibri" w:hAnsi="Calibri"/>
      <w:b w:val="1"/>
      <w:sz w:val="28"/>
      <w:szCs w:val="28"/>
    </w:rPr>
  </w:style>
  <w:style w:type="paragraph" w:styleId="Heading4">
    <w:name w:val="heading 4"/>
    <w:basedOn w:val="Normal"/>
    <w:next w:val="Normal"/>
    <w:pPr>
      <w:keepNext w:val="1"/>
      <w:keepLines w:val="1"/>
      <w:spacing w:after="40" w:before="240" w:lineRule="auto"/>
    </w:pPr>
    <w:rPr>
      <w:rFonts w:ascii="Calibri" w:cs="Calibri" w:eastAsia="Calibri" w:hAnsi="Calibri"/>
      <w:b w:val="1"/>
    </w:rPr>
  </w:style>
  <w:style w:type="paragraph" w:styleId="Heading5">
    <w:name w:val="heading 5"/>
    <w:basedOn w:val="Normal"/>
    <w:next w:val="Normal"/>
    <w:pPr>
      <w:keepNext w:val="1"/>
      <w:keepLines w:val="1"/>
      <w:spacing w:after="40" w:before="220" w:lineRule="auto"/>
    </w:pPr>
    <w:rPr>
      <w:rFonts w:ascii="Calibri" w:cs="Calibri" w:eastAsia="Calibri" w:hAnsi="Calibri"/>
      <w:b w:val="1"/>
      <w:sz w:val="22"/>
      <w:szCs w:val="22"/>
    </w:rPr>
  </w:style>
  <w:style w:type="paragraph" w:styleId="Heading6">
    <w:name w:val="heading 6"/>
    <w:basedOn w:val="Normal"/>
    <w:next w:val="Normal"/>
    <w:pPr>
      <w:keepNext w:val="1"/>
      <w:keepLines w:val="1"/>
      <w:spacing w:after="40" w:before="200" w:lineRule="auto"/>
    </w:pPr>
    <w:rPr>
      <w:rFonts w:ascii="Calibri" w:cs="Calibri" w:eastAsia="Calibri" w:hAnsi="Calibri"/>
      <w:b w:val="1"/>
      <w:sz w:val="20"/>
      <w:szCs w:val="20"/>
    </w:rPr>
  </w:style>
  <w:style w:type="paragraph" w:styleId="Title">
    <w:name w:val="Title"/>
    <w:basedOn w:val="Normal"/>
    <w:next w:val="Normal"/>
    <w:pPr>
      <w:keepNext w:val="1"/>
      <w:keepLines w:val="1"/>
      <w:spacing w:after="120" w:before="480" w:lineRule="auto"/>
    </w:pPr>
    <w:rPr>
      <w:rFonts w:ascii="Calibri" w:cs="Calibri" w:eastAsia="Calibri" w:hAnsi="Calibri"/>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80" w:before="360" w:lineRule="auto"/>
    </w:pPr>
    <w:rPr>
      <w:rFonts w:ascii="Calibri" w:cs="Calibri" w:eastAsia="Calibri" w:hAnsi="Calibri"/>
      <w:b w:val="1"/>
      <w:sz w:val="36"/>
      <w:szCs w:val="36"/>
    </w:rPr>
  </w:style>
  <w:style w:type="paragraph" w:styleId="Heading3">
    <w:name w:val="heading 3"/>
    <w:basedOn w:val="Normal"/>
    <w:next w:val="Normal"/>
    <w:pPr>
      <w:keepNext w:val="1"/>
      <w:keepLines w:val="1"/>
      <w:spacing w:after="80" w:before="280" w:lineRule="auto"/>
    </w:pPr>
    <w:rPr>
      <w:rFonts w:ascii="Calibri" w:cs="Calibri" w:eastAsia="Calibri" w:hAnsi="Calibri"/>
      <w:b w:val="1"/>
      <w:sz w:val="28"/>
      <w:szCs w:val="28"/>
    </w:rPr>
  </w:style>
  <w:style w:type="paragraph" w:styleId="Heading4">
    <w:name w:val="heading 4"/>
    <w:basedOn w:val="Normal"/>
    <w:next w:val="Normal"/>
    <w:pPr>
      <w:keepNext w:val="1"/>
      <w:keepLines w:val="1"/>
      <w:spacing w:after="40" w:before="240" w:lineRule="auto"/>
    </w:pPr>
    <w:rPr>
      <w:rFonts w:ascii="Calibri" w:cs="Calibri" w:eastAsia="Calibri" w:hAnsi="Calibri"/>
      <w:b w:val="1"/>
    </w:rPr>
  </w:style>
  <w:style w:type="paragraph" w:styleId="Heading5">
    <w:name w:val="heading 5"/>
    <w:basedOn w:val="Normal"/>
    <w:next w:val="Normal"/>
    <w:pPr>
      <w:keepNext w:val="1"/>
      <w:keepLines w:val="1"/>
      <w:spacing w:after="40" w:before="220" w:lineRule="auto"/>
    </w:pPr>
    <w:rPr>
      <w:rFonts w:ascii="Calibri" w:cs="Calibri" w:eastAsia="Calibri" w:hAnsi="Calibri"/>
      <w:b w:val="1"/>
      <w:sz w:val="22"/>
      <w:szCs w:val="22"/>
    </w:rPr>
  </w:style>
  <w:style w:type="paragraph" w:styleId="Heading6">
    <w:name w:val="heading 6"/>
    <w:basedOn w:val="Normal"/>
    <w:next w:val="Normal"/>
    <w:pPr>
      <w:keepNext w:val="1"/>
      <w:keepLines w:val="1"/>
      <w:spacing w:after="40" w:before="200" w:lineRule="auto"/>
    </w:pPr>
    <w:rPr>
      <w:rFonts w:ascii="Calibri" w:cs="Calibri" w:eastAsia="Calibri" w:hAnsi="Calibri"/>
      <w:b w:val="1"/>
      <w:sz w:val="20"/>
      <w:szCs w:val="20"/>
    </w:rPr>
  </w:style>
  <w:style w:type="paragraph" w:styleId="Title">
    <w:name w:val="Title"/>
    <w:basedOn w:val="Normal"/>
    <w:next w:val="Normal"/>
    <w:pPr>
      <w:keepNext w:val="1"/>
      <w:keepLines w:val="1"/>
      <w:spacing w:after="120" w:before="480" w:lineRule="auto"/>
    </w:pPr>
    <w:rPr>
      <w:rFonts w:ascii="Calibri" w:cs="Calibri" w:eastAsia="Calibri" w:hAnsi="Calibri"/>
      <w:b w:val="1"/>
      <w:sz w:val="72"/>
      <w:szCs w:val="72"/>
    </w:rPr>
  </w:style>
  <w:style w:type="paragraph" w:styleId="Normal" w:default="1">
    <w:name w:val="Normal"/>
    <w:qFormat w:val="1"/>
    <w:rsid w:val="00C56F39"/>
    <w:rPr>
      <w:rFonts w:ascii="Times New Roman" w:cs="Times New Roman" w:eastAsia="Times New Roman" w:hAnsi="Times New Roman"/>
    </w:rPr>
  </w:style>
  <w:style w:type="paragraph" w:styleId="Heading1">
    <w:name w:val="heading 1"/>
    <w:basedOn w:val="Normal"/>
    <w:next w:val="Normal"/>
    <w:link w:val="Heading1Char"/>
    <w:uiPriority w:val="9"/>
    <w:qFormat w:val="1"/>
    <w:rsid w:val="000714C2"/>
    <w:pPr>
      <w:keepNext w:val="1"/>
      <w:keepLines w:val="1"/>
      <w:spacing w:before="240"/>
      <w:outlineLvl w:val="0"/>
    </w:pPr>
    <w:rPr>
      <w:rFonts w:asciiTheme="majorHAnsi" w:cstheme="majorBidi" w:eastAsiaTheme="majorEastAsia" w:hAnsiTheme="majorHAnsi"/>
      <w:color w:val="2f5496" w:themeColor="accent1" w:themeShade="0000BF"/>
      <w:sz w:val="32"/>
      <w:szCs w:val="32"/>
    </w:rPr>
  </w:style>
  <w:style w:type="paragraph" w:styleId="Heading2">
    <w:name w:val="heading 2"/>
    <w:basedOn w:val="Normal"/>
    <w:next w:val="Normal"/>
    <w:uiPriority w:val="9"/>
    <w:semiHidden w:val="1"/>
    <w:unhideWhenUsed w:val="1"/>
    <w:qFormat w:val="1"/>
    <w:pPr>
      <w:keepNext w:val="1"/>
      <w:keepLines w:val="1"/>
      <w:spacing w:after="80" w:before="360"/>
      <w:outlineLvl w:val="1"/>
    </w:pPr>
    <w:rPr>
      <w:rFonts w:ascii="Calibri" w:cs="Calibri" w:eastAsia="Calibri" w:hAnsi="Calibri"/>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rFonts w:ascii="Calibri" w:cs="Calibri" w:eastAsia="Calibri" w:hAnsi="Calibri"/>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rFonts w:ascii="Calibri" w:cs="Calibri" w:eastAsia="Calibri" w:hAnsi="Calibri"/>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rFonts w:ascii="Calibri" w:cs="Calibri" w:eastAsia="Calibri" w:hAnsi="Calibri"/>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rFonts w:ascii="Calibri" w:cs="Calibri" w:eastAsia="Calibri" w:hAnsi="Calibri"/>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rFonts w:ascii="Calibri" w:cs="Calibri" w:eastAsia="Calibri" w:hAnsi="Calibri"/>
      <w:b w:val="1"/>
      <w:sz w:val="72"/>
      <w:szCs w:val="72"/>
    </w:rPr>
  </w:style>
  <w:style w:type="paragraph" w:styleId="Header">
    <w:name w:val="header"/>
    <w:basedOn w:val="Normal"/>
    <w:link w:val="HeaderChar"/>
    <w:uiPriority w:val="99"/>
    <w:unhideWhenUsed w:val="1"/>
    <w:rsid w:val="000714C2"/>
    <w:pPr>
      <w:tabs>
        <w:tab w:val="center" w:pos="4680"/>
        <w:tab w:val="right" w:pos="9360"/>
      </w:tabs>
    </w:pPr>
    <w:rPr>
      <w:rFonts w:ascii="Calibri" w:cs="Calibri" w:eastAsia="Calibri" w:hAnsi="Calibri"/>
    </w:rPr>
  </w:style>
  <w:style w:type="character" w:styleId="HeaderChar" w:customStyle="1">
    <w:name w:val="Header Char"/>
    <w:basedOn w:val="DefaultParagraphFont"/>
    <w:link w:val="Header"/>
    <w:uiPriority w:val="99"/>
    <w:rsid w:val="000714C2"/>
  </w:style>
  <w:style w:type="paragraph" w:styleId="Footer">
    <w:name w:val="footer"/>
    <w:basedOn w:val="Normal"/>
    <w:link w:val="FooterChar"/>
    <w:uiPriority w:val="99"/>
    <w:unhideWhenUsed w:val="1"/>
    <w:rsid w:val="000714C2"/>
    <w:pPr>
      <w:tabs>
        <w:tab w:val="center" w:pos="4680"/>
        <w:tab w:val="right" w:pos="9360"/>
      </w:tabs>
    </w:pPr>
    <w:rPr>
      <w:rFonts w:ascii="Calibri" w:cs="Calibri" w:eastAsia="Calibri" w:hAnsi="Calibri"/>
    </w:rPr>
  </w:style>
  <w:style w:type="character" w:styleId="FooterChar" w:customStyle="1">
    <w:name w:val="Footer Char"/>
    <w:basedOn w:val="DefaultParagraphFont"/>
    <w:link w:val="Footer"/>
    <w:uiPriority w:val="99"/>
    <w:rsid w:val="000714C2"/>
  </w:style>
  <w:style w:type="table" w:styleId="TableGrid">
    <w:name w:val="Table Grid"/>
    <w:basedOn w:val="TableNormal"/>
    <w:uiPriority w:val="39"/>
    <w:rsid w:val="000714C2"/>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eading1Char" w:customStyle="1">
    <w:name w:val="Heading 1 Char"/>
    <w:basedOn w:val="DefaultParagraphFont"/>
    <w:link w:val="Heading1"/>
    <w:uiPriority w:val="9"/>
    <w:rsid w:val="000714C2"/>
    <w:rPr>
      <w:rFonts w:asciiTheme="majorHAnsi" w:cstheme="majorBidi" w:eastAsiaTheme="majorEastAsia" w:hAnsiTheme="majorHAnsi"/>
      <w:color w:val="2f5496" w:themeColor="accent1" w:themeShade="0000BF"/>
      <w:sz w:val="32"/>
      <w:szCs w:val="3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Pr>
  </w:style>
  <w:style w:type="table" w:styleId="a0" w:customStyle="1">
    <w:basedOn w:val="TableNormal"/>
    <w:tblPr>
      <w:tblStyleRowBandSize w:val="1"/>
      <w:tblStyleColBandSize w:val="1"/>
    </w:tblPr>
  </w:style>
  <w:style w:type="character" w:styleId="Hyperlink">
    <w:name w:val="Hyperlink"/>
    <w:basedOn w:val="DefaultParagraphFont"/>
    <w:uiPriority w:val="99"/>
    <w:unhideWhenUsed w:val="1"/>
    <w:rsid w:val="0012238B"/>
    <w:rPr>
      <w:color w:val="0563c1" w:themeColor="hyperlink"/>
      <w:u w:val="single"/>
    </w:rPr>
  </w:style>
  <w:style w:type="character" w:styleId="UnresolvedMention">
    <w:name w:val="Unresolved Mention"/>
    <w:basedOn w:val="DefaultParagraphFont"/>
    <w:uiPriority w:val="99"/>
    <w:semiHidden w:val="1"/>
    <w:unhideWhenUsed w:val="1"/>
    <w:rsid w:val="0012238B"/>
    <w:rPr>
      <w:color w:val="605e5c"/>
      <w:shd w:color="auto" w:fill="e1dfdd" w:val="clear"/>
    </w:rPr>
  </w:style>
  <w:style w:type="character" w:styleId="FollowedHyperlink">
    <w:name w:val="FollowedHyperlink"/>
    <w:basedOn w:val="DefaultParagraphFont"/>
    <w:uiPriority w:val="99"/>
    <w:semiHidden w:val="1"/>
    <w:unhideWhenUsed w:val="1"/>
    <w:rsid w:val="0012238B"/>
    <w:rPr>
      <w:color w:val="954f72" w:themeColor="followedHyperlink"/>
      <w:u w:val="single"/>
    </w:rPr>
  </w:style>
  <w:style w:type="paragraph" w:styleId="ListParagraph">
    <w:name w:val="List Paragraph"/>
    <w:basedOn w:val="Normal"/>
    <w:uiPriority w:val="34"/>
    <w:qFormat w:val="1"/>
    <w:rsid w:val="00716570"/>
    <w:pPr>
      <w:ind w:left="720"/>
      <w:contextualSpacing w:val="1"/>
    </w:pPr>
    <w:rPr>
      <w:rFonts w:ascii="Calibri" w:cs="Calibri" w:eastAsia="Calibri" w:hAnsi="Calibri"/>
    </w:rPr>
  </w:style>
  <w:style w:type="character" w:styleId="Strong">
    <w:name w:val="Strong"/>
    <w:basedOn w:val="DefaultParagraphFont"/>
    <w:uiPriority w:val="22"/>
    <w:qFormat w:val="1"/>
    <w:rsid w:val="00C56F39"/>
    <w:rPr>
      <w:b w:val="1"/>
      <w:bCs w:val="1"/>
    </w:rPr>
  </w:style>
  <w:style w:type="paragraph" w:styleId="NoSpacing">
    <w:name w:val="No Spacing"/>
    <w:uiPriority w:val="1"/>
    <w:qFormat w:val="1"/>
    <w:rsid w:val="00C56F39"/>
    <w:rPr>
      <w:rFonts w:ascii="Times New Roman" w:cs="Times New Roman" w:eastAsia="Times New Roman" w:hAnsi="Times New Roman"/>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yperlink" Target="https://www.stellarindustries.com/products/mechanic-service-trucks/mechanic-trucks/tmax-1/" TargetMode="External"/><Relationship Id="rId13" Type="http://schemas.openxmlformats.org/officeDocument/2006/relationships/header" Target="header3.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stellarindustries.com/products/service-cranes/hydraulic-cranes/8630-hc/" TargetMode="External"/><Relationship Id="rId15" Type="http://schemas.openxmlformats.org/officeDocument/2006/relationships/footer" Target="footer2.xml"/><Relationship Id="rId14" Type="http://schemas.openxmlformats.org/officeDocument/2006/relationships/footer" Target="footer1.xml"/><Relationship Id="rId16" Type="http://schemas.openxmlformats.org/officeDocument/2006/relationships/footer" Target="foot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macym@anthologic.com" TargetMode="External"/><Relationship Id="rId8" Type="http://schemas.openxmlformats.org/officeDocument/2006/relationships/hyperlink" Target="https://www.stellarindustries.com/products/mechanic-service-trucks/mechanic-trucks/tmax-1/"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hyperlink" Target="https://www.stellarindustri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fVmXHAESpGdZmV3mUbv0GBqOEA==">CgMxLjA4AHIhMVB6ZDlLRFU1cmVYMF9RVm9jY2xMYkxuSDgweW1CY3RQ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2024-12-30T16:29:00Z</dcterms:created>
  <dc:creator>Kelsey Meyer</dc:creator>
</cp:coreProperties>
</file>